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A68" w:rsidRPr="009F3A68" w:rsidRDefault="00CD01E8" w:rsidP="009F3A68">
      <w:pPr>
        <w:spacing w:after="0" w:line="240" w:lineRule="auto"/>
        <w:jc w:val="both"/>
        <w:rPr>
          <w:rFonts w:ascii="Arial" w:eastAsia="Times New Roman" w:hAnsi="Arial" w:cs="Arial"/>
          <w:b/>
          <w:lang w:eastAsia="es-CO"/>
        </w:rPr>
      </w:pPr>
      <w:r w:rsidRPr="009F3A68">
        <w:rPr>
          <w:rFonts w:ascii="Arial" w:eastAsia="Times New Roman" w:hAnsi="Arial" w:cs="Arial"/>
          <w:b/>
          <w:lang w:eastAsia="es-CO"/>
        </w:rPr>
        <w:t xml:space="preserve">Ayuda De Memoria </w:t>
      </w:r>
    </w:p>
    <w:p w:rsidR="009F3A68" w:rsidRPr="009F3A68" w:rsidRDefault="009F3A68" w:rsidP="009F3A68">
      <w:pPr>
        <w:spacing w:after="0" w:line="240" w:lineRule="auto"/>
        <w:jc w:val="both"/>
        <w:rPr>
          <w:rFonts w:ascii="Arial" w:eastAsia="Times New Roman" w:hAnsi="Arial" w:cs="Arial"/>
          <w:b/>
          <w:lang w:eastAsia="es-CO"/>
        </w:rPr>
      </w:pPr>
    </w:p>
    <w:p w:rsidR="00CD01E8" w:rsidRPr="00CD01E8" w:rsidRDefault="00CD01E8" w:rsidP="009F3A68">
      <w:pPr>
        <w:spacing w:after="0" w:line="240" w:lineRule="auto"/>
        <w:jc w:val="both"/>
        <w:rPr>
          <w:rFonts w:ascii="Arial" w:eastAsia="Times New Roman" w:hAnsi="Arial" w:cs="Arial"/>
          <w:b/>
          <w:lang w:eastAsia="es-CO"/>
        </w:rPr>
      </w:pPr>
      <w:r w:rsidRPr="009F3A68">
        <w:rPr>
          <w:rFonts w:ascii="Arial" w:eastAsia="Times New Roman" w:hAnsi="Arial" w:cs="Arial"/>
          <w:b/>
          <w:bCs/>
          <w:lang w:eastAsia="es-CO"/>
        </w:rPr>
        <w:t xml:space="preserve">Ajuste metodológico del indicador: </w:t>
      </w:r>
      <w:r w:rsidRPr="009F3A68">
        <w:rPr>
          <w:rFonts w:ascii="Arial" w:eastAsia="Times New Roman" w:hAnsi="Arial" w:cs="Arial"/>
          <w:bCs/>
          <w:lang w:eastAsia="es-CO"/>
        </w:rPr>
        <w:t>Número de expedientes del cuatrienio con decisión de fondo</w:t>
      </w:r>
      <w:r w:rsidR="00B14A8D" w:rsidRPr="009F3A68">
        <w:rPr>
          <w:rFonts w:ascii="Arial" w:eastAsia="Times New Roman" w:hAnsi="Arial" w:cs="Arial"/>
          <w:bCs/>
          <w:lang w:eastAsia="es-CO"/>
        </w:rPr>
        <w:t xml:space="preserve"> </w:t>
      </w:r>
      <w:r w:rsidR="00B14A8D" w:rsidRPr="009F3A68">
        <w:rPr>
          <w:rFonts w:ascii="Arial" w:eastAsia="Times New Roman" w:hAnsi="Arial" w:cs="Arial"/>
          <w:lang w:eastAsia="es-CO"/>
        </w:rPr>
        <w:t>(15% de los procesos sancionatorios del cuatrienio)”</w:t>
      </w:r>
    </w:p>
    <w:p w:rsidR="00CD01E8" w:rsidRPr="009F3A68" w:rsidRDefault="00CD01E8" w:rsidP="002E7595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es-CO"/>
        </w:rPr>
      </w:pPr>
      <w:r w:rsidRPr="009F3A68">
        <w:rPr>
          <w:rFonts w:ascii="Arial" w:eastAsia="Times New Roman" w:hAnsi="Arial" w:cs="Arial"/>
          <w:b/>
          <w:bCs/>
          <w:lang w:eastAsia="es-CO"/>
        </w:rPr>
        <w:t>Antecedentes</w:t>
      </w:r>
      <w:r w:rsidR="002E7595" w:rsidRPr="009F3A68">
        <w:rPr>
          <w:rFonts w:ascii="Arial" w:eastAsia="Times New Roman" w:hAnsi="Arial" w:cs="Arial"/>
          <w:b/>
          <w:bCs/>
          <w:lang w:eastAsia="es-CO"/>
        </w:rPr>
        <w:t xml:space="preserve"> y problemática</w:t>
      </w:r>
    </w:p>
    <w:p w:rsidR="00CD01E8" w:rsidRPr="009F3A68" w:rsidRDefault="00CD01E8" w:rsidP="00CD01E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9F3A68">
        <w:rPr>
          <w:rFonts w:ascii="Arial" w:eastAsia="Times New Roman" w:hAnsi="Arial" w:cs="Arial"/>
          <w:lang w:eastAsia="es-CO"/>
        </w:rPr>
        <w:t xml:space="preserve">Para el año 2025, el contempla una meta de </w:t>
      </w:r>
      <w:r w:rsidRPr="009F3A68">
        <w:rPr>
          <w:rFonts w:ascii="Arial" w:eastAsia="Times New Roman" w:hAnsi="Arial" w:cs="Arial"/>
          <w:bCs/>
          <w:lang w:eastAsia="es-CO"/>
        </w:rPr>
        <w:t>160 decisiones de fondo</w:t>
      </w:r>
      <w:r w:rsidRPr="009F3A68">
        <w:rPr>
          <w:rFonts w:ascii="Arial" w:eastAsia="Times New Roman" w:hAnsi="Arial" w:cs="Arial"/>
          <w:lang w:eastAsia="es-CO"/>
        </w:rPr>
        <w:t xml:space="preserve">. El análisis de las etapas procedimentales previas evidencia actuaciones transversales —en particular la </w:t>
      </w:r>
      <w:r w:rsidRPr="009F3A68">
        <w:rPr>
          <w:rFonts w:ascii="Arial" w:eastAsia="Times New Roman" w:hAnsi="Arial" w:cs="Arial"/>
          <w:bCs/>
          <w:lang w:eastAsia="es-CO"/>
        </w:rPr>
        <w:t>notificación de actos administrativos</w:t>
      </w:r>
      <w:r w:rsidRPr="009F3A68">
        <w:rPr>
          <w:rFonts w:ascii="Arial" w:eastAsia="Times New Roman" w:hAnsi="Arial" w:cs="Arial"/>
          <w:lang w:eastAsia="es-CO"/>
        </w:rPr>
        <w:t>— que inciden directamente en el impulso procesal y en la capacidad real de cumplimiento de dicha meta.</w:t>
      </w:r>
    </w:p>
    <w:p w:rsidR="002E7595" w:rsidRPr="009F3A68" w:rsidRDefault="00CD01E8" w:rsidP="00CD01E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lang w:eastAsia="es-CO"/>
        </w:rPr>
      </w:pPr>
      <w:r w:rsidRPr="009F3A68">
        <w:rPr>
          <w:rFonts w:ascii="Arial" w:eastAsia="Times New Roman" w:hAnsi="Arial" w:cs="Arial"/>
          <w:lang w:eastAsia="es-CO"/>
        </w:rPr>
        <w:t xml:space="preserve">Durante el bienio </w:t>
      </w:r>
      <w:r w:rsidRPr="009F3A68">
        <w:rPr>
          <w:rFonts w:ascii="Arial" w:eastAsia="Times New Roman" w:hAnsi="Arial" w:cs="Arial"/>
          <w:bCs/>
          <w:lang w:eastAsia="es-CO"/>
        </w:rPr>
        <w:t>2024–2025</w:t>
      </w:r>
      <w:r w:rsidRPr="009F3A68">
        <w:rPr>
          <w:rFonts w:ascii="Arial" w:eastAsia="Times New Roman" w:hAnsi="Arial" w:cs="Arial"/>
          <w:lang w:eastAsia="es-CO"/>
        </w:rPr>
        <w:t xml:space="preserve"> se inicia el universo de expedientes sancionatorios que sirve de base para el indicador. La aplicación del porcentaje del 15% </w:t>
      </w:r>
      <w:r w:rsidRPr="009F3A68">
        <w:rPr>
          <w:rFonts w:ascii="Arial" w:eastAsia="Times New Roman" w:hAnsi="Arial" w:cs="Arial"/>
          <w:b/>
          <w:lang w:eastAsia="es-CO"/>
        </w:rPr>
        <w:t xml:space="preserve">sobre una </w:t>
      </w:r>
      <w:r w:rsidRPr="009F3A68">
        <w:rPr>
          <w:rFonts w:ascii="Arial" w:eastAsia="Times New Roman" w:hAnsi="Arial" w:cs="Arial"/>
          <w:b/>
          <w:bCs/>
          <w:lang w:eastAsia="es-CO"/>
        </w:rPr>
        <w:t>base móvil</w:t>
      </w:r>
      <w:r w:rsidRPr="009F3A68">
        <w:rPr>
          <w:rFonts w:ascii="Arial" w:eastAsia="Times New Roman" w:hAnsi="Arial" w:cs="Arial"/>
          <w:b/>
          <w:lang w:eastAsia="es-CO"/>
        </w:rPr>
        <w:t>, con ingreso continuo de expedientes, dificulta la planeación, priorización y seguimiento, afectando la previsibilidad del indicador y la lectura del desempeño institucional.</w:t>
      </w:r>
      <w:r w:rsidR="00B14A8D" w:rsidRPr="009F3A68">
        <w:rPr>
          <w:rFonts w:ascii="Arial" w:eastAsia="Times New Roman" w:hAnsi="Arial" w:cs="Arial"/>
          <w:b/>
          <w:lang w:eastAsia="es-CO"/>
        </w:rPr>
        <w:t xml:space="preserve"> </w:t>
      </w:r>
      <w:r w:rsidR="00B14A8D" w:rsidRPr="00CD01E8">
        <w:rPr>
          <w:rFonts w:ascii="Arial" w:eastAsia="Times New Roman" w:hAnsi="Arial" w:cs="Arial"/>
          <w:lang w:eastAsia="es-CO"/>
        </w:rPr>
        <w:t xml:space="preserve">Adicionalmente, se identifica la necesidad de </w:t>
      </w:r>
      <w:r w:rsidR="00B14A8D" w:rsidRPr="00CD01E8">
        <w:rPr>
          <w:rFonts w:ascii="Arial" w:eastAsia="Times New Roman" w:hAnsi="Arial" w:cs="Arial"/>
          <w:b/>
          <w:lang w:eastAsia="es-CO"/>
        </w:rPr>
        <w:t xml:space="preserve">definir una </w:t>
      </w:r>
      <w:r w:rsidR="00B14A8D" w:rsidRPr="009F3A68">
        <w:rPr>
          <w:rFonts w:ascii="Arial" w:eastAsia="Times New Roman" w:hAnsi="Arial" w:cs="Arial"/>
          <w:b/>
          <w:bCs/>
          <w:lang w:eastAsia="es-CO"/>
        </w:rPr>
        <w:t>línea base definitiva</w:t>
      </w:r>
      <w:r w:rsidR="00B14A8D" w:rsidRPr="00CD01E8">
        <w:rPr>
          <w:rFonts w:ascii="Arial" w:eastAsia="Times New Roman" w:hAnsi="Arial" w:cs="Arial"/>
          <w:lang w:eastAsia="es-CO"/>
        </w:rPr>
        <w:t xml:space="preserve"> que permita una medición objetiva, trazable y realista del desempeño de la Dirección de Procesos Sancionatorios.</w:t>
      </w:r>
    </w:p>
    <w:p w:rsidR="00CD01E8" w:rsidRPr="00CD01E8" w:rsidRDefault="00CD01E8" w:rsidP="00CD01E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lang w:eastAsia="es-CO"/>
        </w:rPr>
      </w:pPr>
      <w:r w:rsidRPr="009F3A68">
        <w:rPr>
          <w:rFonts w:ascii="Arial" w:eastAsia="Times New Roman" w:hAnsi="Arial" w:cs="Arial"/>
          <w:b/>
          <w:bCs/>
          <w:lang w:eastAsia="es-CO"/>
        </w:rPr>
        <w:t xml:space="preserve">Propuesta de ajuste </w:t>
      </w:r>
    </w:p>
    <w:p w:rsidR="002E7595" w:rsidRPr="009F3A68" w:rsidRDefault="00CD01E8" w:rsidP="002E759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CD01E8">
        <w:rPr>
          <w:rFonts w:ascii="Arial" w:eastAsia="Times New Roman" w:hAnsi="Arial" w:cs="Arial"/>
          <w:lang w:eastAsia="es-CO"/>
        </w:rPr>
        <w:t xml:space="preserve">Realizar un </w:t>
      </w:r>
      <w:r w:rsidRPr="009F3A68">
        <w:rPr>
          <w:rFonts w:ascii="Arial" w:eastAsia="Times New Roman" w:hAnsi="Arial" w:cs="Arial"/>
          <w:bCs/>
          <w:lang w:eastAsia="es-CO"/>
        </w:rPr>
        <w:t>corte temporal al 31 de diciembre de 2025</w:t>
      </w:r>
      <w:r w:rsidRPr="00CD01E8">
        <w:rPr>
          <w:rFonts w:ascii="Arial" w:eastAsia="Times New Roman" w:hAnsi="Arial" w:cs="Arial"/>
          <w:lang w:eastAsia="es-CO"/>
        </w:rPr>
        <w:t xml:space="preserve"> para determinar el total de expedientes sancionatorios iniciados entre el </w:t>
      </w:r>
      <w:r w:rsidRPr="009F3A68">
        <w:rPr>
          <w:rFonts w:ascii="Arial" w:eastAsia="Times New Roman" w:hAnsi="Arial" w:cs="Arial"/>
          <w:bCs/>
          <w:lang w:eastAsia="es-CO"/>
        </w:rPr>
        <w:t>1 de enero de 2024 y el 31 de diciembre de 2025</w:t>
      </w:r>
      <w:r w:rsidR="002E7595" w:rsidRPr="009F3A68">
        <w:rPr>
          <w:rFonts w:ascii="Arial" w:eastAsia="Times New Roman" w:hAnsi="Arial" w:cs="Arial"/>
          <w:lang w:eastAsia="es-CO"/>
        </w:rPr>
        <w:t>, y s</w:t>
      </w:r>
      <w:r w:rsidRPr="00CD01E8">
        <w:rPr>
          <w:rFonts w:ascii="Arial" w:eastAsia="Times New Roman" w:hAnsi="Arial" w:cs="Arial"/>
          <w:lang w:eastAsia="es-CO"/>
        </w:rPr>
        <w:t xml:space="preserve">obre esta </w:t>
      </w:r>
      <w:r w:rsidRPr="009F3A68">
        <w:rPr>
          <w:rFonts w:ascii="Arial" w:eastAsia="Times New Roman" w:hAnsi="Arial" w:cs="Arial"/>
          <w:bCs/>
          <w:lang w:eastAsia="es-CO"/>
        </w:rPr>
        <w:t>base cerrada</w:t>
      </w:r>
      <w:r w:rsidRPr="00CD01E8">
        <w:rPr>
          <w:rFonts w:ascii="Arial" w:eastAsia="Times New Roman" w:hAnsi="Arial" w:cs="Arial"/>
          <w:lang w:eastAsia="es-CO"/>
        </w:rPr>
        <w:t xml:space="preserve">, calcular el </w:t>
      </w:r>
      <w:r w:rsidRPr="009F3A68">
        <w:rPr>
          <w:rFonts w:ascii="Arial" w:eastAsia="Times New Roman" w:hAnsi="Arial" w:cs="Arial"/>
          <w:bCs/>
          <w:lang w:eastAsia="es-CO"/>
        </w:rPr>
        <w:t>15%</w:t>
      </w:r>
      <w:r w:rsidRPr="00CD01E8">
        <w:rPr>
          <w:rFonts w:ascii="Arial" w:eastAsia="Times New Roman" w:hAnsi="Arial" w:cs="Arial"/>
          <w:lang w:eastAsia="es-CO"/>
        </w:rPr>
        <w:t xml:space="preserve"> que constituirá el </w:t>
      </w:r>
      <w:r w:rsidRPr="00CD01E8">
        <w:rPr>
          <w:rFonts w:ascii="Arial" w:eastAsia="Times New Roman" w:hAnsi="Arial" w:cs="Arial"/>
          <w:b/>
          <w:lang w:eastAsia="es-CO"/>
        </w:rPr>
        <w:t>compromiso de decisiones de fondo</w:t>
      </w:r>
      <w:r w:rsidRPr="00CD01E8">
        <w:rPr>
          <w:rFonts w:ascii="Arial" w:eastAsia="Times New Roman" w:hAnsi="Arial" w:cs="Arial"/>
          <w:lang w:eastAsia="es-CO"/>
        </w:rPr>
        <w:t xml:space="preserve"> para el período </w:t>
      </w:r>
      <w:r w:rsidRPr="009F3A68">
        <w:rPr>
          <w:rFonts w:ascii="Arial" w:eastAsia="Times New Roman" w:hAnsi="Arial" w:cs="Arial"/>
          <w:bCs/>
          <w:lang w:eastAsia="es-CO"/>
        </w:rPr>
        <w:t>2026–2027</w:t>
      </w:r>
      <w:r w:rsidRPr="00CD01E8">
        <w:rPr>
          <w:rFonts w:ascii="Arial" w:eastAsia="Times New Roman" w:hAnsi="Arial" w:cs="Arial"/>
          <w:lang w:eastAsia="es-CO"/>
        </w:rPr>
        <w:t>.</w:t>
      </w:r>
    </w:p>
    <w:p w:rsidR="002E7595" w:rsidRPr="009F3A68" w:rsidRDefault="00CD01E8" w:rsidP="002E759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9F3A68">
        <w:rPr>
          <w:rFonts w:ascii="Arial" w:eastAsia="Times New Roman" w:hAnsi="Arial" w:cs="Arial"/>
          <w:b/>
          <w:bCs/>
          <w:lang w:eastAsia="es-CO"/>
        </w:rPr>
        <w:t>2025:</w:t>
      </w:r>
      <w:r w:rsidRPr="00CD01E8">
        <w:rPr>
          <w:rFonts w:ascii="Arial" w:eastAsia="Times New Roman" w:hAnsi="Arial" w:cs="Arial"/>
          <w:lang w:eastAsia="es-CO"/>
        </w:rPr>
        <w:t xml:space="preserve"> 0 decisiones de fondo asociadas a este indicador.</w:t>
      </w:r>
    </w:p>
    <w:p w:rsidR="00CD01E8" w:rsidRPr="00CD01E8" w:rsidRDefault="00CD01E8" w:rsidP="002E759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9F3A68">
        <w:rPr>
          <w:rFonts w:ascii="Arial" w:eastAsia="Times New Roman" w:hAnsi="Arial" w:cs="Arial"/>
          <w:b/>
          <w:bCs/>
          <w:lang w:eastAsia="es-CO"/>
        </w:rPr>
        <w:t>2026:</w:t>
      </w:r>
      <w:r w:rsidRPr="00CD01E8">
        <w:rPr>
          <w:rFonts w:ascii="Arial" w:eastAsia="Times New Roman" w:hAnsi="Arial" w:cs="Arial"/>
          <w:lang w:eastAsia="es-CO"/>
        </w:rPr>
        <w:t xml:space="preserve"> 15% del total de expedientes iniciados en 2024 y 2025.</w:t>
      </w:r>
    </w:p>
    <w:p w:rsidR="002E7595" w:rsidRPr="009F3A68" w:rsidRDefault="00CD01E8" w:rsidP="002E7595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lang w:eastAsia="es-CO"/>
        </w:rPr>
      </w:pPr>
      <w:r w:rsidRPr="009F3A68">
        <w:rPr>
          <w:rFonts w:ascii="Arial" w:eastAsia="Times New Roman" w:hAnsi="Arial" w:cs="Arial"/>
          <w:b/>
          <w:bCs/>
          <w:lang w:eastAsia="es-CO"/>
        </w:rPr>
        <w:t>Pertinencia del ajuste</w:t>
      </w:r>
    </w:p>
    <w:p w:rsidR="009F3A68" w:rsidRPr="009F3A68" w:rsidRDefault="009F3A68" w:rsidP="009F3A6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9F3A68">
        <w:rPr>
          <w:rFonts w:ascii="Arial" w:eastAsia="Times New Roman" w:hAnsi="Arial" w:cs="Arial"/>
          <w:lang w:eastAsia="es-CO"/>
        </w:rPr>
        <w:t>El ajuste metodológico propuesto es pertinente y necesario</w:t>
      </w:r>
      <w:r w:rsidRPr="009F3A68">
        <w:rPr>
          <w:rFonts w:ascii="Arial" w:eastAsia="Times New Roman" w:hAnsi="Arial" w:cs="Arial"/>
          <w:lang w:eastAsia="es-CO"/>
        </w:rPr>
        <w:t>, ya que permite contar con una base de medición clara, estable y verificable, lo cual es fundamental para planear adecuadamente el trabajo, priorizar los expedientes y hacer un seguimiento efectivo de los procesos sancionatorios</w:t>
      </w:r>
      <w:r w:rsidRPr="009F3A68">
        <w:rPr>
          <w:rFonts w:ascii="Arial" w:eastAsia="Times New Roman" w:hAnsi="Arial" w:cs="Arial"/>
          <w:lang w:eastAsia="es-CO"/>
        </w:rPr>
        <w:t xml:space="preserve">, </w:t>
      </w:r>
      <w:r w:rsidRPr="009F3A68">
        <w:rPr>
          <w:rFonts w:ascii="Arial" w:eastAsia="Times New Roman" w:hAnsi="Arial" w:cs="Arial"/>
          <w:lang w:eastAsia="es-CO"/>
        </w:rPr>
        <w:t>el ajuste permite evaluar el cumplimiento del indicador de manera más objetiva, transparente y realista, reflejando de forma más fiel la capacidad efectiva de la entidad para llevar los expedientes a decisión de fondo.</w:t>
      </w:r>
    </w:p>
    <w:p w:rsidR="002E7595" w:rsidRPr="009F3A68" w:rsidRDefault="002E7595" w:rsidP="009F3A6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lang w:eastAsia="es-CO"/>
        </w:rPr>
      </w:pPr>
      <w:r w:rsidRPr="009F3A68">
        <w:rPr>
          <w:rFonts w:ascii="Arial" w:eastAsia="Times New Roman" w:hAnsi="Arial" w:cs="Arial"/>
          <w:b/>
          <w:lang w:eastAsia="es-CO"/>
        </w:rPr>
        <w:t xml:space="preserve">Preguntas </w:t>
      </w:r>
    </w:p>
    <w:p w:rsidR="00DD38A6" w:rsidRPr="009F3A68" w:rsidRDefault="003174C6" w:rsidP="00CD01E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9F3A68">
        <w:rPr>
          <w:rFonts w:ascii="Arial" w:eastAsia="Times New Roman" w:hAnsi="Arial" w:cs="Arial"/>
          <w:lang w:eastAsia="es-CO"/>
        </w:rPr>
        <w:t xml:space="preserve">¿Los expedientes sancionatorios excluidos del corte metodológico para la medición de decisiones de fondo </w:t>
      </w:r>
      <w:r w:rsidR="00DD38A6" w:rsidRPr="009F3A68">
        <w:rPr>
          <w:rFonts w:ascii="Arial" w:eastAsia="Times New Roman" w:hAnsi="Arial" w:cs="Arial"/>
          <w:lang w:eastAsia="es-CO"/>
        </w:rPr>
        <w:t xml:space="preserve">2026-2027 </w:t>
      </w:r>
      <w:r w:rsidRPr="009F3A68">
        <w:rPr>
          <w:rFonts w:ascii="Arial" w:eastAsia="Times New Roman" w:hAnsi="Arial" w:cs="Arial"/>
          <w:lang w:eastAsia="es-CO"/>
        </w:rPr>
        <w:t>serán objeto de seguimiento mediante el indicador de impulso procesal?</w:t>
      </w:r>
    </w:p>
    <w:p w:rsidR="00DD38A6" w:rsidRPr="00CD01E8" w:rsidRDefault="00DD38A6" w:rsidP="00CD01E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es-CO"/>
        </w:rPr>
      </w:pPr>
      <w:r w:rsidRPr="009F3A68">
        <w:rPr>
          <w:rFonts w:ascii="Arial" w:eastAsia="Times New Roman" w:hAnsi="Arial" w:cs="Arial"/>
          <w:lang w:eastAsia="es-CO"/>
        </w:rPr>
        <w:t>¿Los expedientes sancionatorios iniciado</w:t>
      </w:r>
      <w:bookmarkStart w:id="0" w:name="_GoBack"/>
      <w:bookmarkEnd w:id="0"/>
      <w:r w:rsidRPr="009F3A68">
        <w:rPr>
          <w:rFonts w:ascii="Arial" w:eastAsia="Times New Roman" w:hAnsi="Arial" w:cs="Arial"/>
          <w:lang w:eastAsia="es-CO"/>
        </w:rPr>
        <w:t>s en los años 2026 y 2027, que no se encuentran contemplados en la base metodológica del indicador, se incluyen en el reporte del indicador cuando cuentan con una decisión de fondo?</w:t>
      </w:r>
    </w:p>
    <w:p w:rsidR="00CD01E8" w:rsidRPr="009F3A68" w:rsidRDefault="00CD01E8" w:rsidP="00CD01E8">
      <w:pPr>
        <w:jc w:val="both"/>
        <w:rPr>
          <w:rFonts w:ascii="Arial" w:hAnsi="Arial" w:cs="Arial"/>
        </w:rPr>
      </w:pPr>
    </w:p>
    <w:sectPr w:rsidR="00CD01E8" w:rsidRPr="009F3A6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574CF"/>
    <w:multiLevelType w:val="multilevel"/>
    <w:tmpl w:val="F258A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4238A8"/>
    <w:multiLevelType w:val="hybridMultilevel"/>
    <w:tmpl w:val="B8F06FB2"/>
    <w:lvl w:ilvl="0" w:tplc="419435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717FE"/>
    <w:multiLevelType w:val="multilevel"/>
    <w:tmpl w:val="5C06B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6F5"/>
    <w:rsid w:val="001A21BE"/>
    <w:rsid w:val="001E4F0B"/>
    <w:rsid w:val="002E7595"/>
    <w:rsid w:val="003174C6"/>
    <w:rsid w:val="004A65BD"/>
    <w:rsid w:val="00540A8D"/>
    <w:rsid w:val="005B6FFA"/>
    <w:rsid w:val="006616F5"/>
    <w:rsid w:val="0087798A"/>
    <w:rsid w:val="008C2C34"/>
    <w:rsid w:val="00920FD8"/>
    <w:rsid w:val="009F3A68"/>
    <w:rsid w:val="00B14A8D"/>
    <w:rsid w:val="00BE7DD0"/>
    <w:rsid w:val="00CD01E8"/>
    <w:rsid w:val="00DD38A6"/>
    <w:rsid w:val="00E009EA"/>
    <w:rsid w:val="00F4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D386E9-FFAE-49D3-8ECE-90D5F3642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CD01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CD01E8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customStyle="1" w:styleId="min-w-0">
    <w:name w:val="min-w-0"/>
    <w:basedOn w:val="Fuentedeprrafopredeter"/>
    <w:rsid w:val="00CD01E8"/>
  </w:style>
  <w:style w:type="paragraph" w:styleId="NormalWeb">
    <w:name w:val="Normal (Web)"/>
    <w:basedOn w:val="Normal"/>
    <w:uiPriority w:val="99"/>
    <w:semiHidden/>
    <w:unhideWhenUsed/>
    <w:rsid w:val="00CD0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CD01E8"/>
    <w:rPr>
      <w:b/>
      <w:bCs/>
    </w:rPr>
  </w:style>
  <w:style w:type="paragraph" w:styleId="Prrafodelista">
    <w:name w:val="List Paragraph"/>
    <w:basedOn w:val="Normal"/>
    <w:uiPriority w:val="34"/>
    <w:qFormat/>
    <w:rsid w:val="00CD0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3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6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5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06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54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4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96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77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1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83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9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985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939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2</cp:revision>
  <dcterms:created xsi:type="dcterms:W3CDTF">2025-12-17T21:52:00Z</dcterms:created>
  <dcterms:modified xsi:type="dcterms:W3CDTF">2025-12-17T21:52:00Z</dcterms:modified>
</cp:coreProperties>
</file>